
<file path=[Content_Types].xml><?xml version="1.0" encoding="utf-8"?>
<Types xmlns="http://schemas.openxmlformats.org/package/2006/content-types">
  <Default ContentType="image/png" Extension="png"/>
  <Default ContentType="image/png" Extension="tmp"/>
  <Default ContentType="image/jpeg" Extension="jpeg"/>
  <Default ContentType="image/jpeg" Extension="jpg!d"/>
  <Default ContentType="image/jpg" Extension="jpg"/>
  <Default ContentType="image/webp" Extension="webp"/>
  <Default ContentType="image/bmp" Extension="bmp"/>
  <Default ContentType="image/gif" Extension="gif"/>
  <Default ContentType="image/tiff" Extension="tiff"/>
  <Default ContentType="image/x-wmf" Extension="wmf"/>
  <Default ContentType="image/x-wmf" Extension="bin"/>
  <Default ContentType="image/x-emf" Extension="emf"/>
  <Default ContentType="image/aces" Extension="exr"/>
  <Default ContentType="image/x-icon" Extension="ico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package/2006/relationships/metadata/core-properties" Target="docProps/core.xml" />
  <Relationship Id="rId2" Type="http://schemas.openxmlformats.org/officeDocument/2006/relationships/extended-properties" Target="docProps/app.xml" />
  <Relationship Id="rId3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15="http://schemas.microsoft.com/office/word/2012/wordml" mc:Ignorable="w14 w15 wp14">
  <w:body>
    <w:p>
      <w:pPr>
        <w:ind/>
      </w:pPr>
      <w:r>
        <w:rPr>
          <w:sz w:val="22"/>
          <w:b w:val="1"/>
        </w:rPr>
        <w:t xml:space="preserve">业务PRD：</w:t>
      </w:r>
      <w:r>
        <w:rPr>
          <w:sz w:val="22"/>
          <w:b w:val="1"/>
        </w:rPr>
      </w:r>
    </w:p>
    <w:p>
      <w:pPr>
        <w:ind/>
      </w:pPr>
      <w:r>
        <w:rPr>
          <w:sz w:val="22"/>
          <w:b w:val="1"/>
        </w:rPr>
        <w:t xml:space="preserve">业务预期使用时间：</w:t>
      </w:r>
    </w:p>
    <w:p>
      <w:bookmarkStart w:id="mji9kypxzsejcgdhdpp" w:name="mji9kypxzsejcgdhdpp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版本记录</w:t>
      </w:r>
      <w:bookmarkEnd w:id="mji9kypxzsejcgdhdpp"/>
    </w:p>
    <w:tbl>
      <w:tblPr>
        <w:tblStyle w:val="TableGrid"/>
        <w:tblW w:w="0" w:type="auto"/>
      </w:tblPr>
      <w:tblGrid>
        <w:gridCol w:w="1620"/>
        <w:gridCol w:w="1620"/>
        <w:gridCol w:w="1620"/>
        <w:gridCol w:w="1620"/>
        <w:gridCol w:w="6000"/>
        <w:gridCol w:w="1620"/>
      </w:tblGrid>
      <w:tr>
        <w:trPr>
          <w:trHeight w:val="495"/>
        </w:trPr>
        <w:tc>
          <w:tcPr>
            <w:tcW w:w="3240" w:type="dxa"/>
            <w:gridSpan w:val="2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版本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修订人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修订时间</w:t>
            </w:r>
          </w:p>
        </w:tc>
        <w:tc>
          <w:tcPr>
            <w:tcW w:w="600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描述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色块说明</w:t>
            </w:r>
          </w:p>
        </w:tc>
      </w:tr>
      <w:tr>
        <w:trPr>
          <w:trHeight w:val="495"/>
        </w:trPr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新建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1-1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蔡怡虹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2026.10.14</w:t>
            </w:r>
          </w:p>
        </w:tc>
        <w:tc>
          <w:tcPr>
            <w:tcW w:w="600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</w:pPr>
            <w:r>
              <w:rPr>
                <w:sz w:val="22"/>
              </w:rPr>
              <w:t xml:space="preserve">创建需求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高亮色</w:t>
            </w:r>
          </w:p>
        </w:tc>
      </w:tr>
      <w:tr>
        <w:trPr>
          <w:trHeight w:val="0"/>
        </w:trPr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开发中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1-2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蔡怡虹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2026.10.27</w:t>
            </w:r>
          </w:p>
        </w:tc>
        <w:tc>
          <w:tcPr>
            <w:tcW w:w="6000" w:type="dxa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/>
            <w:r>
              <w:t xml:space="preserve">不在Labs预览了，分词时机延后到同步</w:t>
            </w:r>
          </w:p>
          <w:p>
            <w:pPr/>
            <w:r>
              <w:t xml:space="preserve">已确定，修改了短语要重新全量分词</w:t>
            </w:r>
          </w:p>
          <w:p>
            <w:pPr/>
            <w:r>
              <w:t xml:space="preserve">C端本次不支持组合题，删除对应需求点</w:t>
            </w:r>
          </w:p>
        </w:tc>
        <w:tc>
          <w:tcPr>
            <w:tcW w:w="1620" w:type="dxa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FFFAE5"/>
          </w:tcPr>
          <w:p>
            <w:pPr/>
            <w:r/>
          </w:p>
        </w:tc>
      </w:tr>
    </w:tbl>
    <w:p>
      <w:bookmarkStart w:id="mji9kypyh75u3ziatx7" w:name="mji9kypyh75u3ziatx7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需求背景</w:t>
      </w:r>
      <w:bookmarkEnd w:id="mji9kypyh75u3ziatx7"/>
    </w:p>
    <w:p>
      <w:bookmarkStart w:id="mji9kypyrjops92g5" w:name="mji9kypyrjops92g5"/>
      <w:pPr>
        <w:pStyle w:val="dingding-heading2"/>
        <w:numPr>
          <w:ilvl w:val="1"/>
          <w:numId w:val="1"/>
        </w:numPr>
        <w:spacing w:line="240"/>
      </w:pPr>
      <w:r>
        <w:rPr>
          <w:sz w:val="36"/>
        </w:rPr>
        <w:t xml:space="preserve">解决什么问题？</w:t>
      </w:r>
      <w:bookmarkEnd w:id="mji9kypyrjops92g5"/>
    </w:p>
    <w:p>
      <w:pPr>
        <w:ind/>
      </w:pPr>
      <w:r>
        <w:rPr>
          <w:sz w:val="22"/>
        </w:rPr>
        <w:t xml:space="preserve">【用户故事】</w:t>
      </w:r>
    </w:p>
    <w:p>
      <w:pPr>
        <w:ind/>
      </w:pPr>
      <w:r>
        <w:rPr>
          <w:sz w:val="22"/>
        </w:rPr>
        <w:t xml:space="preserve">作为用户，我希望在答题过程中遇到不认识的单词时，可以查看单词的翻译，以便于我顺利答题。</w:t>
      </w:r>
    </w:p>
    <w:tbl>
      <w:tblPr>
        <w:tblStyle w:val="TableGrid"/>
        <w:tblW w:w="0" w:type="auto"/>
      </w:tblPr>
      <w:tblGrid>
        <w:gridCol w:w="8805"/>
        <w:gridCol w:w="4440"/>
      </w:tblGrid>
      <w:tr>
        <w:trPr>
          <w:trHeight w:val="615"/>
        </w:trPr>
        <w:tc>
          <w:tcPr>
            <w:tcW w:w="88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需求背景</w:t>
            </w:r>
          </w:p>
        </w:tc>
        <w:tc>
          <w:tcPr>
            <w:tcW w:w="444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本次需求目的</w:t>
            </w:r>
          </w:p>
        </w:tc>
      </w:tr>
      <w:tr>
        <w:trPr>
          <w:trHeight w:val="0"/>
        </w:trPr>
        <w:tc>
          <w:tcPr>
            <w:tcW w:w="88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/>
            <w:r>
              <w:rPr>
                <w:sz w:val="22"/>
              </w:rPr>
              <w:t xml:space="preserve">课中答题时，因存在生词障碍，阻碍用户答题。</w:t>
            </w:r>
          </w:p>
          <w:p>
            <w:pPr/>
            <w:r>
              <w:rPr>
                <w:sz w:val="22"/>
              </w:rPr>
              <w:t xml:space="preserve">C端打算支持用户查看题内单词、短语的翻译等内容，需要课程平台来提供内容数据源</w:t>
            </w:r>
          </w:p>
          <w:p>
            <w:pPr/>
            <w:r>
              <w:rPr>
                <w:sz w:val="22"/>
              </w:rPr>
            </w:r>
            <w:r>
              <w:drawing>
                <wp:inline distT="0" distB="0" distL="0" distR="0">
                  <wp:extent cx="5448300" cy="2579073"/>
                  <wp:effectExtent b="0" l="0" r="0" t="0"/>
                  <wp:docPr id="1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rot="0">
                            <a:off x="0" y="0"/>
                            <a:ext cx="5448300" cy="2579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</w:r>
          </w:p>
          <w:p>
            <w:pPr/>
            <w:r>
              <w:rPr>
                <w:sz w:val="22"/>
              </w:rPr>
            </w:r>
          </w:p>
          <w:p>
            <w:pPr/>
            <w:r>
              <w:rPr>
                <w:sz w:val="22"/>
              </w:rPr>
              <w:t xml:space="preserve">整体思路类似笔画资源库，需要：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sz w:val="22"/>
              </w:rPr>
              <w:t xml:space="preserve">通过三方数据库、AI生成等方式，一次性初始化一批单词、短语数据存到库里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sz w:val="22"/>
              </w:rPr>
              <w:t xml:space="preserve">然后还支持后台管理，对数据作搜索、编辑，方便后续人工维护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sz w:val="22"/>
              </w:rPr>
              <w:t xml:space="preserve">对接：对文段提前分好此，并支持下游根据分词来查数据。当匹配到单词、短语时，返回对应内容</w:t>
            </w:r>
          </w:p>
        </w:tc>
        <w:tc>
          <w:tcPr>
            <w:tcW w:w="444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</w:pPr>
            <w:r>
              <w:t xml:space="preserve">支持C端英语业务</w:t>
            </w:r>
          </w:p>
        </w:tc>
      </w:tr>
    </w:tbl>
    <w:p>
      <w:pPr/>
      <w:r>
        <w:rPr>
          <w:b w:val="1"/>
        </w:rPr>
        <w:t xml:space="preserve">系列需求一览</w:t>
      </w:r>
    </w:p>
    <w:p>
      <w:pPr/>
      <w:r>
        <w:t xml:space="preserve">已完成：</w:t>
      </w:r>
      <w:r/>
    </w:p>
    <w:p>
      <w:pPr/>
      <w:r/>
      <w:r/>
    </w:p>
    <w:p>
      <w:pPr/>
      <w:r/>
      <w:r/>
    </w:p>
    <w:p>
      <w:pPr/>
      <w:r/>
      <w:r/>
    </w:p>
    <w:p>
      <w:pPr/>
      <w:r/>
    </w:p>
    <w:p>
      <w:bookmarkStart w:id="mji9kypyef6947o3a" w:name="mji9kypyef6947o3a"/>
      <w:pPr>
        <w:pStyle w:val="dingding-heading2"/>
        <w:numPr>
          <w:ilvl w:val="1"/>
          <w:numId w:val="1"/>
        </w:numPr>
        <w:spacing w:line="240"/>
      </w:pPr>
      <w:r>
        <w:rPr>
          <w:sz w:val="36"/>
        </w:rPr>
        <w:t xml:space="preserve">还需要哪些支持？</w:t>
      </w:r>
      <w:bookmarkEnd w:id="mji9kypyef6947o3a"/>
    </w:p>
    <w:tbl>
      <w:tblPr>
        <w:tblStyle w:val="TableGrid"/>
        <w:tblW w:w="0" w:type="auto"/>
      </w:tblPr>
      <w:tblGrid>
        <w:gridCol w:w="3705"/>
        <w:gridCol w:w="2055"/>
        <w:gridCol w:w="2055"/>
      </w:tblGrid>
      <w:tr>
        <w:trPr>
          <w:trHeight w:val="495"/>
        </w:trPr>
        <w:tc>
          <w:tcPr>
            <w:tcW w:w="37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对接端</w:t>
            </w:r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产品</w:t>
            </w:r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开发</w:t>
            </w:r>
          </w:p>
        </w:tc>
      </w:tr>
      <w:tr>
        <w:trPr>
          <w:trHeight w:val="0"/>
        </w:trPr>
        <w:tc>
          <w:tcPr>
            <w:tcW w:w="37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center"/>
            </w:pPr>
            <w:r>
              <w:t xml:space="preserve">客户端</w:t>
            </w:r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center"/>
            </w:pPr>
            <w:r/>
            <w:r>
              <w:rPr>
                <w:color w:val="008ECB"/>
              </w:rPr>
              <w:t xml:space="preserve">@杨洋（产品1）(杨洋)</w:t>
            </w:r>
            <w:r/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center"/>
            </w:pPr>
            <w:r/>
          </w:p>
        </w:tc>
      </w:tr>
    </w:tbl>
    <w:p>
      <w:pPr/>
      <w:r/>
    </w:p>
    <w:p>
      <w:bookmarkStart w:id="mji9kypy4b23jsb2geb" w:name="mji9kypy4b23jsb2geb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需求内容</w:t>
      </w:r>
      <w:bookmarkEnd w:id="mji9kypy4b23jsb2geb"/>
    </w:p>
    <w:p>
      <w:bookmarkStart w:id="mufc4a26pvngggh2mks" w:name="mufc4a26pvngggh2mks"/>
      <w:pPr>
        <w:pStyle w:val="dingding-heading2"/>
        <w:ind/>
        <w:spacing w:line="223.99999999999997"/>
      </w:pPr>
      <w:r>
        <w:rPr>
          <w:sz w:val="36"/>
          <w:b w:val="1"/>
        </w:rPr>
        <w:t xml:space="preserve">题目与内容范围</w:t>
      </w:r>
      <w:bookmarkEnd w:id="mufc4a26pvngggh2mks"/>
    </w:p>
    <w:tbl>
      <w:tblPr>
        <w:tblStyle w:val="TableGrid"/>
        <w:tblW w:w="0" w:type="pct"/>
      </w:tblPr>
      <w:tblGrid>
        <w:gridCol w:w="154"/>
        <w:gridCol w:w="354"/>
        <w:gridCol w:w="429"/>
        <w:gridCol w:w="561"/>
      </w:tblGrid>
      <w:tr>
        <w:trPr>
          <w:trHeight w:val="660"/>
        </w:trPr>
        <w:tc>
          <w:tcPr>
            <w:tcW w:w="154" w:type="dxa"/>
            <w:vAlign w:val="top"/>
            <w:tcBorders>
              <w:bottom w:val="single" w:sz="12" w:space="0" w:color="E5E7EB"/>
            </w:tcBorders>
            <w:shd w:val="clear" w:color="auto" w:fill="E8F2FE"/>
          </w:tcPr>
          <w:p>
            <w:pPr>
              <w:jc w:val="center"/>
            </w:pPr>
            <w:r>
              <w:rPr>
                <w:sz w:val="22"/>
                <w:b w:val="1"/>
              </w:rPr>
              <w:t xml:space="preserve">题型</w:t>
            </w:r>
          </w:p>
        </w:tc>
        <w:tc>
          <w:tcPr>
            <w:tcW w:w="354" w:type="dxa"/>
            <w:vAlign w:val="top"/>
            <w:tcBorders>
              <w:bottom w:val="single" w:sz="12" w:space="0" w:color="E5E7EB"/>
            </w:tcBorders>
            <w:shd w:val="clear" w:color="auto" w:fill="E8F2FE"/>
          </w:tcPr>
          <w:p>
            <w:pPr>
              <w:jc w:val="center"/>
            </w:pPr>
            <w:r>
              <w:rPr>
                <w:sz w:val="22"/>
                <w:b w:val="1"/>
              </w:rPr>
              <w:t xml:space="preserve">C端示意图</w:t>
            </w:r>
          </w:p>
        </w:tc>
        <w:tc>
          <w:tcPr>
            <w:tcW w:w="429" w:type="dxa"/>
            <w:tcBorders>
              <w:bottom w:val="single" w:sz="12" w:space="0" w:color="E5E7EB"/>
            </w:tcBorders>
            <w:shd w:val="clear" w:color="auto" w:fill="E8F2FE"/>
          </w:tcPr>
          <w:p>
            <w:pPr/>
            <w:r>
              <w:t xml:space="preserve">B端示意图</w:t>
            </w:r>
          </w:p>
        </w:tc>
        <w:tc>
          <w:tcPr>
            <w:tcW w:w="561" w:type="dxa"/>
            <w:vAlign w:val="top"/>
            <w:tcBorders>
              <w:bottom w:val="single" w:sz="12" w:space="0" w:color="E5E7EB"/>
            </w:tcBorders>
            <w:shd w:val="clear" w:color="auto" w:fill="E8F2FE"/>
          </w:tcPr>
          <w:p>
            <w:pPr/>
            <w:r>
              <w:rPr>
                <w:sz w:val="22"/>
                <w:b w:val="1"/>
              </w:rPr>
              <w:t xml:space="preserve">内容（生产项）</w:t>
            </w:r>
          </w:p>
        </w:tc>
      </w:tr>
      <w:tr>
        <w:trPr>
          <w:trHeight w:val="1395"/>
        </w:trPr>
        <w:tc>
          <w:tcPr>
            <w:tcW w:w="154" w:type="dxa"/>
            <w:vAlign w:val="top"/>
            <w:tcBorders>
              <w:bottom w:val="single" w:sz="6" w:space="0" w:color="E5E7EB"/>
            </w:tcBorders>
          </w:tcPr>
          <w:p>
            <w:pPr>
              <w:jc w:val="center"/>
            </w:pPr>
            <w:r>
              <w:rPr>
                <w:sz w:val="22"/>
              </w:rPr>
              <w:t xml:space="preserve">标准选择题</w:t>
            </w:r>
          </w:p>
        </w:tc>
        <w:tc>
          <w:tcPr>
            <w:tcW w:w="354" w:type="dxa"/>
            <w:vAlign w:val="top"/>
            <w:tcBorders>
              <w:bottom w:val="single" w:sz="6" w:space="0" w:color="E5E7EB"/>
            </w:tcBorders>
          </w:tcPr>
          <w:p>
            <w:pPr/>
            <w:r>
              <w:rPr>
                <w:sz w:val="22"/>
              </w:rPr>
            </w:r>
            <w:r>
              <w:drawing>
                <wp:inline distT="0" distB="0" distL="0" distR="0">
                  <wp:extent cx="1905000" cy="876679"/>
                  <wp:effectExtent b="0" l="0" r="0" t="0"/>
                  <wp:docPr id="2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 rot="0">
                            <a:off x="0" y="0"/>
                            <a:ext cx="1905000" cy="876679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</w:r>
          </w:p>
        </w:tc>
        <w:tc>
          <w:tcPr>
            <w:tcW w:w="429" w:type="dxa"/>
            <w:tcBorders>
              <w:bottom w:val="single" w:sz="6" w:space="0" w:color="E5E7EB"/>
            </w:tcBorders>
          </w:tcPr>
          <w:p>
            <w:pPr/>
            <w:r/>
            <w:r>
              <w:drawing>
                <wp:inline distT="0" distB="0" distL="0" distR="0">
                  <wp:extent cx="2514600" cy="1174432"/>
                  <wp:effectExtent b="0" l="0" r="0" t="0"/>
                  <wp:docPr id="3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rot="0">
                            <a:off x="0" y="0"/>
                            <a:ext cx="2514600" cy="1174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/>
          </w:p>
        </w:tc>
        <w:tc>
          <w:tcPr>
            <w:tcW w:w="561" w:type="dxa"/>
            <w:vAlign w:val="top"/>
            <w:tcBorders>
              <w:bottom w:val="single" w:sz="6" w:space="0" w:color="E5E7EB"/>
            </w:tcBorders>
          </w:tcPr>
          <w:p>
            <w:pPr/>
            <w:r>
              <w:rPr>
                <w:sz w:val="22"/>
              </w:rPr>
              <w:t xml:space="preserve">文字材料</w:t>
            </w:r>
          </w:p>
          <w:p>
            <w:pPr>
              <w:ind/>
            </w:pPr>
            <w:r>
              <w:rPr>
                <w:sz w:val="22"/>
              </w:rPr>
            </w:r>
          </w:p>
        </w:tc>
      </w:tr>
      <w:tr>
        <w:trPr>
          <w:trHeight w:val="615"/>
        </w:trPr>
        <w:tc>
          <w:tcPr>
            <w:tcW w:w="154" w:type="dxa"/>
            <w:vAlign w:val="top"/>
            <w:tcBorders>
              <w:bottom w:val="single" w:sz="6" w:space="0" w:color="E5E7EB"/>
            </w:tcBorders>
          </w:tcPr>
          <w:p>
            <w:pPr>
              <w:jc w:val="center"/>
            </w:pPr>
            <w:r>
              <w:rPr>
                <w:sz w:val="22"/>
              </w:rPr>
              <w:t xml:space="preserve">标准</w:t>
            </w:r>
            <w:r>
              <w:rPr>
                <w:sz w:val="22"/>
              </w:rPr>
              <w:t xml:space="preserve">填空题</w:t>
            </w:r>
          </w:p>
        </w:tc>
        <w:tc>
          <w:tcPr>
            <w:tcW w:w="354" w:type="dxa"/>
            <w:vAlign w:val="top"/>
            <w:tcBorders>
              <w:bottom w:val="single" w:sz="6" w:space="0" w:color="E5E7EB"/>
            </w:tcBorders>
          </w:tcPr>
          <w:p>
            <w:pPr/>
            <w:r>
              <w:rPr>
                <w:sz w:val="22"/>
              </w:rPr>
            </w:r>
            <w:r>
              <w:drawing>
                <wp:inline distT="0" distB="0" distL="0" distR="0">
                  <wp:extent cx="1905000" cy="918516"/>
                  <wp:effectExtent b="0" l="0" r="0" t="0"/>
                  <wp:docPr id="4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 rot="0">
                            <a:off x="0" y="0"/>
                            <a:ext cx="1905000" cy="918516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</w:r>
          </w:p>
        </w:tc>
        <w:tc>
          <w:tcPr>
            <w:tcW w:w="429" w:type="dxa"/>
            <w:tcBorders>
              <w:bottom w:val="single" w:sz="6" w:space="0" w:color="E5E7EB"/>
            </w:tcBorders>
          </w:tcPr>
          <w:p>
            <w:pPr/>
            <w:r/>
            <w:r>
              <w:drawing>
                <wp:inline distT="0" distB="0" distL="0" distR="0">
                  <wp:extent cx="2514600" cy="1150209"/>
                  <wp:effectExtent b="0" l="0" r="0" t="0"/>
                  <wp:docPr id="5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 rot="0">
                            <a:off x="0" y="0"/>
                            <a:ext cx="2514600" cy="1150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/>
          </w:p>
        </w:tc>
        <w:tc>
          <w:tcPr>
            <w:tcW w:w="561" w:type="dxa"/>
            <w:vAlign w:val="top"/>
            <w:tcBorders>
              <w:bottom w:val="single" w:sz="6" w:space="0" w:color="E5E7EB"/>
            </w:tcBorders>
          </w:tcPr>
          <w:p>
            <w:pPr>
              <w:ind/>
            </w:pPr>
            <w:r>
              <w:rPr>
                <w:sz w:val="22"/>
              </w:rPr>
              <w:t xml:space="preserve">作答区文字</w:t>
            </w:r>
          </w:p>
        </w:tc>
      </w:tr>
      <w:tr>
        <w:trPr>
          <w:trHeight w:val="0"/>
        </w:trPr>
        <w:tc>
          <w:tcPr>
            <w:tcW w:w="154" w:type="dxa"/>
            <w:vAlign w:val="top"/>
            <w:tcBorders>
              <w:bottom w:val="single" w:sz="6" w:space="0" w:color="E5E7EB"/>
            </w:tcBorders>
          </w:tcPr>
          <w:p>
            <w:pPr>
              <w:jc w:val="center"/>
            </w:pPr>
            <w:r>
              <w:rPr>
                <w:sz w:val="22"/>
              </w:rPr>
              <w:t xml:space="preserve">完形填空</w:t>
            </w:r>
          </w:p>
        </w:tc>
        <w:tc>
          <w:tcPr>
            <w:tcW w:w="354" w:type="dxa"/>
            <w:vAlign w:val="top"/>
            <w:tcBorders>
              <w:bottom w:val="single" w:sz="6" w:space="0" w:color="E5E7EB"/>
            </w:tcBorders>
          </w:tcPr>
          <w:p>
            <w:pPr/>
            <w:r>
              <w:rPr>
                <w:sz w:val="22"/>
              </w:rPr>
            </w:r>
            <w:r>
              <w:drawing>
                <wp:inline distT="0" distB="0" distL="0" distR="0">
                  <wp:extent cx="1905000" cy="918516"/>
                  <wp:effectExtent b="0" l="0" r="0" t="0"/>
                  <wp:docPr id="6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 rot="0">
                            <a:off x="0" y="0"/>
                            <a:ext cx="1905000" cy="918516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</w:r>
          </w:p>
        </w:tc>
        <w:tc>
          <w:tcPr>
            <w:tcW w:w="429" w:type="dxa"/>
            <w:tcBorders>
              <w:bottom w:val="single" w:sz="6" w:space="0" w:color="E5E7EB"/>
            </w:tcBorders>
          </w:tcPr>
          <w:p>
            <w:pPr/>
            <w:r/>
            <w:r>
              <w:drawing>
                <wp:inline distT="0" distB="0" distL="0" distR="0">
                  <wp:extent cx="2514600" cy="1077681"/>
                  <wp:effectExtent b="0" l="0" r="0" t="0"/>
                  <wp:docPr id="7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 rot="0">
                            <a:off x="0" y="0"/>
                            <a:ext cx="2514600" cy="1077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/>
          </w:p>
        </w:tc>
        <w:tc>
          <w:tcPr>
            <w:tcW w:w="561" w:type="dxa"/>
            <w:tcBorders>
              <w:bottom w:val="single" w:sz="6" w:space="0" w:color="E5E7EB"/>
            </w:tcBorders>
          </w:tcPr>
          <w:p>
            <w:pPr/>
            <w:r>
              <w:rPr>
                <w:sz w:val="22"/>
              </w:rPr>
              <w:t xml:space="preserve">作答区文字</w:t>
            </w:r>
          </w:p>
        </w:tc>
      </w:tr>
      <w:tr>
        <w:trPr>
          <w:trHeight w:val="1770"/>
        </w:trPr>
        <w:tc>
          <w:tcPr>
            <w:tcW w:w="154" w:type="dxa"/>
            <w:vAlign w:val="top"/>
            <w:tcBorders>
              <w:bottom w:val="single" w:sz="6" w:space="0" w:color="E5E7EB"/>
            </w:tcBorders>
          </w:tcPr>
          <w:p>
            <w:pPr>
              <w:jc w:val="center"/>
            </w:pPr>
            <w:r>
              <w:rPr>
                <w:sz w:val="22"/>
              </w:rPr>
              <w:t xml:space="preserve">标准</w:t>
            </w:r>
            <w:r>
              <w:rPr>
                <w:sz w:val="22"/>
              </w:rPr>
              <w:t xml:space="preserve">输入题</w:t>
            </w:r>
          </w:p>
        </w:tc>
        <w:tc>
          <w:tcPr>
            <w:tcW w:w="354" w:type="dxa"/>
            <w:vAlign w:val="top"/>
            <w:tcBorders>
              <w:bottom w:val="single" w:sz="6" w:space="0" w:color="E5E7EB"/>
            </w:tcBorders>
          </w:tcPr>
          <w:p>
            <w:pPr/>
            <w:r>
              <w:rPr>
                <w:sz w:val="22"/>
              </w:rPr>
            </w:r>
            <w:r>
              <w:drawing>
                <wp:inline distT="0" distB="0" distL="0" distR="0">
                  <wp:extent cx="1905000" cy="940491"/>
                  <wp:effectExtent b="0" l="0" r="0" t="0"/>
                  <wp:docPr id="8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 rot="0">
                            <a:off x="0" y="0"/>
                            <a:ext cx="1905000" cy="940491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</w:r>
          </w:p>
        </w:tc>
        <w:tc>
          <w:tcPr>
            <w:tcW w:w="429" w:type="dxa"/>
            <w:tcBorders>
              <w:bottom w:val="single" w:sz="6" w:space="0" w:color="E5E7EB"/>
            </w:tcBorders>
          </w:tcPr>
          <w:p>
            <w:pPr/>
            <w:r/>
            <w:r>
              <w:drawing>
                <wp:inline distT="0" distB="0" distL="0" distR="0">
                  <wp:extent cx="2514600" cy="1102694"/>
                  <wp:effectExtent b="0" l="0" r="0" t="0"/>
                  <wp:docPr id="9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 rot="0">
                            <a:off x="0" y="0"/>
                            <a:ext cx="2514600" cy="1102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/>
          </w:p>
        </w:tc>
        <w:tc>
          <w:tcPr>
            <w:tcW w:w="561" w:type="dxa"/>
            <w:vAlign w:val="top"/>
            <w:tcBorders>
              <w:bottom w:val="single" w:sz="6" w:space="0" w:color="E5E7EB"/>
            </w:tcBorders>
          </w:tcPr>
          <w:p>
            <w:pPr/>
            <w:r>
              <w:rPr>
                <w:sz w:val="22"/>
              </w:rPr>
              <w:t xml:space="preserve">作答区文字</w:t>
            </w:r>
          </w:p>
        </w:tc>
      </w:tr>
      <w:tr>
        <w:trPr>
          <w:trHeight w:val="615"/>
        </w:trPr>
        <w:tc>
          <w:tcPr>
            <w:tcW w:w="154" w:type="dxa"/>
            <w:tcBorders>
              <w:bottom w:val="single" w:sz="6" w:space="0" w:color="E5E7EB"/>
            </w:tcBorders>
            <w:shd w:val="clear" w:color="auto" w:fill="F5F6F7"/>
          </w:tcPr>
          <w:p>
            <w:pPr>
              <w:jc w:val="center"/>
            </w:pPr>
            <w:r>
              <w:rPr>
                <w:sz w:val="22"/>
                <w:color w:val="9B9A97"/>
                <w:strike w:val="1"/>
              </w:rPr>
              <w:t xml:space="preserve">标准组合题</w:t>
            </w:r>
          </w:p>
        </w:tc>
        <w:tc>
          <w:tcPr>
            <w:tcW w:w="354" w:type="dxa"/>
            <w:tcBorders>
              <w:bottom w:val="single" w:sz="6" w:space="0" w:color="E5E7EB"/>
            </w:tcBorders>
            <w:shd w:val="clear" w:color="auto" w:fill="F5F6F7"/>
          </w:tcPr>
          <w:p>
            <w:pPr>
              <w:jc w:val="left"/>
            </w:pPr>
            <w:r>
              <w:rPr>
                <w:sz w:val="22"/>
                <w:color w:val="9B9A97"/>
                <w:strike w:val="1"/>
              </w:rPr>
            </w:r>
            <w:r>
              <w:drawing>
                <wp:inline distT="0" distB="0" distL="0" distR="0">
                  <wp:extent cx="1905000" cy="878730"/>
                  <wp:effectExtent b="0" l="0" r="0" t="0"/>
                  <wp:docPr id="10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 rot="0">
                            <a:off x="0" y="0"/>
                            <a:ext cx="1905000" cy="87873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color w:val="9B9A97"/>
                <w:strike w:val="1"/>
              </w:rPr>
            </w:r>
          </w:p>
        </w:tc>
        <w:tc>
          <w:tcPr>
            <w:tcW w:w="429" w:type="dxa"/>
            <w:tcBorders>
              <w:bottom w:val="single" w:sz="6" w:space="0" w:color="E5E7EB"/>
            </w:tcBorders>
            <w:shd w:val="clear" w:color="auto" w:fill="F5F6F7"/>
          </w:tcPr>
          <w:p>
            <w:pPr/>
            <w:r>
              <w:rPr>
                <w:color w:val="9B9A97"/>
                <w:strike w:val="1"/>
              </w:rPr>
            </w:r>
            <w:r>
              <w:drawing>
                <wp:inline distT="0" distB="0" distL="0" distR="0">
                  <wp:extent cx="2514600" cy="1125491"/>
                  <wp:effectExtent b="0" l="0" r="0" t="0"/>
                  <wp:docPr id="11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 rot="0">
                            <a:off x="0" y="0"/>
                            <a:ext cx="2514600" cy="1125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9B9A97"/>
                <w:strike w:val="1"/>
              </w:rPr>
            </w:r>
          </w:p>
        </w:tc>
        <w:tc>
          <w:tcPr>
            <w:tcW w:w="561" w:type="dxa"/>
            <w:tcBorders>
              <w:bottom w:val="single" w:sz="6" w:space="0" w:color="E5E7EB"/>
            </w:tcBorders>
            <w:shd w:val="clear" w:color="auto" w:fill="F5F6F7"/>
          </w:tcPr>
          <w:p>
            <w:pPr/>
            <w:r>
              <w:rPr>
                <w:sz w:val="22"/>
                <w:color w:val="9B9A97"/>
                <w:strike w:val="1"/>
              </w:rPr>
              <w:t xml:space="preserve">文字材料</w:t>
            </w:r>
          </w:p>
          <w:p>
            <w:pPr/>
            <w:r>
              <w:rPr>
                <w:sz w:val="22"/>
                <w:color w:val="9B9A97"/>
                <w:strike w:val="1"/>
              </w:rPr>
            </w:r>
          </w:p>
          <w:p>
            <w:pPr/>
            <w:r>
              <w:rPr>
                <w:sz w:val="22"/>
                <w:color w:val="9B9A97"/>
                <w:strike w:val="1"/>
              </w:rPr>
              <w:t xml:space="preserve">注：组合题的小题各有单独的题型，若小题题型符合上述范围，也纳入</w:t>
            </w:r>
          </w:p>
        </w:tc>
      </w:tr>
    </w:tbl>
    <w:p>
      <w:pPr/>
      <w:r/>
    </w:p>
    <w:p>
      <w:bookmarkStart w:id="mv90b715fexllpq5ll9" w:name="mv90b715fexllpq5ll9"/>
      <w:pPr>
        <w:pStyle w:val="dingding-heading2"/>
        <w:spacing w:line="223.99999999999997"/>
      </w:pPr>
      <w:r>
        <w:rPr>
          <w:sz w:val="36"/>
          <w:b w:val="1"/>
        </w:rPr>
        <w:t xml:space="preserve">需求说明</w:t>
      </w:r>
      <w:bookmarkEnd w:id="mv90b715fexllpq5ll9"/>
    </w:p>
    <w:tbl>
      <w:tblPr>
        <w:tblStyle w:val="tableHeader"/>
        <w:tblW w:w="5000" w:type="pct"/>
        <w:tblLook w:firstRow="1" w:lastRow="0" w:firstColumn="0" w:lastColumn="0" w:noHBand="0" w:noVBand="0"/>
      </w:tblPr>
      <w:tblGrid>
        <w:gridCol w:w="606"/>
        <w:gridCol w:w="893"/>
      </w:tblGrid>
      <w:tr>
        <w:trPr>
          <w:trHeight w:val="660"/>
        </w:trPr>
        <w:tc>
          <w:tcPr>
            <w:tcW w:w="606" w:type="dxa"/>
            <w:vAlign w:val="top"/>
            <w:shd w:val="clear" w:color="auto" w:fill="E8F2FE"/>
          </w:tcPr>
          <w:p>
            <w:pPr>
              <w:jc w:val="center"/>
            </w:pPr>
            <w:r>
              <w:rPr>
                <w:sz w:val="22"/>
                <w:b w:val="1"/>
              </w:rPr>
              <w:t xml:space="preserve">原型图</w:t>
            </w:r>
          </w:p>
        </w:tc>
        <w:tc>
          <w:tcPr>
            <w:tcW w:w="893" w:type="dxa"/>
            <w:vAlign w:val="top"/>
            <w:shd w:val="clear" w:color="auto" w:fill="E8F2FE"/>
          </w:tcPr>
          <w:p>
            <w:pPr>
              <w:jc w:val="center"/>
            </w:pPr>
            <w:r>
              <w:rPr>
                <w:sz w:val="22"/>
                <w:b w:val="1"/>
              </w:rPr>
              <w:t xml:space="preserve">功能描述</w:t>
            </w:r>
          </w:p>
        </w:tc>
      </w:tr>
      <w:tr>
        <w:trPr>
          <w:trHeight w:val="0"/>
        </w:trPr>
        <w:tc>
          <w:tcPr>
            <w:tcW w:w="606" w:type="dxa"/>
            <w:vAlign w:val="top"/>
          </w:tcPr>
          <w:p>
            <w:pPr/>
            <w:r>
              <w:rPr>
                <w:b w:val="1"/>
              </w:rPr>
              <w:t xml:space="preserve">分词示例</w:t>
            </w:r>
          </w:p>
          <w:p>
            <w:pPr/>
            <w:r/>
          </w:p>
          <w:p>
            <w:pPr/>
            <w:r>
              <w:rPr>
                <w:sz w:val="24"/>
                <w:color w:val="000000"/>
                <w:u w:val="single"/>
              </w:rPr>
              <w:t xml:space="preserve">She</w:t>
            </w:r>
            <w:r>
              <w:rPr>
                <w:sz w:val="24"/>
                <w:color w:val="00000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agrees with</w:t>
            </w:r>
            <w:r>
              <w:rPr>
                <w:sz w:val="24"/>
                <w:color w:val="00000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my</w:t>
            </w:r>
            <w:r>
              <w:rPr>
                <w:sz w:val="24"/>
                <w:color w:val="00000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opinion</w:t>
            </w:r>
            <w:r>
              <w:rPr>
                <w:sz w:val="24"/>
                <w:color w:val="000000"/>
              </w:rPr>
              <w:t xml:space="preserve">.</w:t>
            </w:r>
          </w:p>
          <w:p>
            <w:pPr/>
            <w:r>
              <w:rPr>
                <w:sz w:val="24"/>
                <w:color w:val="000000"/>
              </w:rPr>
            </w:r>
          </w:p>
          <w:p>
            <w:pPr/>
            <w:r>
              <w:rPr>
                <w:sz w:val="24"/>
                <w:color w:val="000000"/>
                <w:u w:val="single"/>
              </w:rPr>
              <w:t xml:space="preserve">She</w:t>
            </w:r>
            <w:r>
              <w:rPr>
                <w:sz w:val="24"/>
                <w:color w:val="000000"/>
                <w:b w:val="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used</w:t>
            </w:r>
            <w:r>
              <w:rPr>
                <w:sz w:val="24"/>
                <w:color w:val="000000"/>
                <w:b w:val="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a</w:t>
            </w:r>
            <w:r>
              <w:rPr>
                <w:sz w:val="24"/>
                <w:color w:val="000000"/>
                <w:b w:val="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low-temperature</w:t>
            </w:r>
            <w:r>
              <w:rPr>
                <w:sz w:val="24"/>
                <w:color w:val="000000"/>
                <w:b w:val="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method</w:t>
            </w:r>
            <w:r>
              <w:rPr>
                <w:sz w:val="24"/>
                <w:color w:val="000000"/>
                <w:b w:val="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to extract</w:t>
            </w:r>
            <w:r>
              <w:rPr>
                <w:sz w:val="24"/>
                <w:color w:val="000000"/>
                <w:b w:val="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artemisinin</w:t>
            </w:r>
            <w:r>
              <w:rPr>
                <w:sz w:val="24"/>
                <w:color w:val="000000"/>
              </w:rPr>
              <w:t xml:space="preserve">（</w:t>
            </w:r>
            <w:r>
              <w:rPr>
                <w:sz w:val="24"/>
                <w:color w:val="000000"/>
                <w:b w:val="0"/>
              </w:rPr>
              <w:t xml:space="preserve">青蒿素</w:t>
            </w:r>
            <w:r>
              <w:rPr>
                <w:sz w:val="24"/>
                <w:color w:val="000000"/>
              </w:rPr>
              <w:t xml:space="preserve">）</w:t>
            </w:r>
            <w:r>
              <w:rPr>
                <w:sz w:val="24"/>
                <w:color w:val="000000"/>
                <w:u w:val="single"/>
              </w:rPr>
              <w:t xml:space="preserve">and</w:t>
            </w:r>
            <w:r>
              <w:rPr>
                <w:sz w:val="24"/>
                <w:color w:val="00000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finally</w:t>
            </w:r>
            <w:r>
              <w:rPr>
                <w:sz w:val="24"/>
                <w:color w:val="00000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succeeded</w:t>
            </w:r>
            <w:r>
              <w:rPr>
                <w:sz w:val="24"/>
                <w:color w:val="000000"/>
              </w:rPr>
              <w:t xml:space="preserve"> </w:t>
            </w:r>
            <w:r>
              <w:rPr>
                <w:sz w:val="24"/>
                <w:color w:val="000000"/>
                <w:u w:val="single"/>
              </w:rPr>
              <w:t xml:space="preserve">in</w:t>
            </w:r>
            <w:r>
              <w:rPr>
                <w:sz w:val="24"/>
                <w:color w:val="000000"/>
              </w:rPr>
              <w:t xml:space="preserve"> 1972.</w:t>
            </w:r>
          </w:p>
          <w:p>
            <w:pPr/>
            <w:r>
              <w:rPr>
                <w:sz w:val="24"/>
                <w:color w:val="000000"/>
              </w:rPr>
            </w:r>
          </w:p>
          <w:p>
            <w:pPr/>
            <w:r>
              <w:rPr>
                <w:sz w:val="24"/>
                <w:color w:val="000000"/>
                <w:u w:val="single"/>
              </w:rPr>
              <w:t xml:space="preserve">agrees with</w:t>
            </w:r>
            <w:r>
              <w:rPr>
                <w:sz w:val="24"/>
                <w:color w:val="000000"/>
              </w:rPr>
              <w:t xml:space="preserve">是一个变形短语</w:t>
            </w:r>
          </w:p>
          <w:p>
            <w:pPr/>
            <w:r>
              <w:rPr>
                <w:sz w:val="24"/>
                <w:color w:val="000000"/>
                <w:u w:val="single"/>
              </w:rPr>
              <w:t xml:space="preserve">low-temperature</w:t>
            </w:r>
            <w:r>
              <w:rPr>
                <w:sz w:val="24"/>
                <w:color w:val="000000"/>
              </w:rPr>
              <w:t xml:space="preserve">是一个单词，“-”不分词</w:t>
            </w:r>
          </w:p>
          <w:p>
            <w:pPr/>
            <w:r>
              <w:rPr>
                <w:sz w:val="24"/>
                <w:color w:val="000000"/>
              </w:rPr>
              <w:t xml:space="preserve">（</w:t>
            </w:r>
            <w:r>
              <w:rPr>
                <w:sz w:val="24"/>
                <w:color w:val="000000"/>
                <w:b w:val="0"/>
              </w:rPr>
              <w:t xml:space="preserve">青蒿素</w:t>
            </w:r>
            <w:r>
              <w:rPr>
                <w:sz w:val="24"/>
                <w:color w:val="000000"/>
              </w:rPr>
              <w:t xml:space="preserve">）、1927、空格、“.”等，都视为分隔</w:t>
            </w:r>
          </w:p>
        </w:tc>
        <w:tc>
          <w:tcPr>
            <w:tcW w:w="893" w:type="dxa"/>
            <w:vAlign w:val="top"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范围与时机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在LABS，</w:t>
            </w:r>
            <w:r>
              <w:rPr>
                <w:shd w:val="clear" w:color="auto" w:fill="FFFAE5"/>
              </w:rPr>
              <w:t xml:space="preserve">上述题目</w:t>
            </w:r>
            <w:r>
              <w:rPr>
                <w:shd w:val="clear" w:color="auto" w:fill="FFFAE5"/>
              </w:rPr>
              <w:t xml:space="preserve">同步、发布</w:t>
            </w:r>
            <w:r>
              <w:rPr>
                <w:shd w:val="clear" w:color="auto" w:fill="FFFAE5"/>
              </w:rPr>
              <w:t xml:space="preserve">时</w:t>
            </w:r>
            <w:r>
              <w:t xml:space="preserve">，执行以下逻辑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判断英文范围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需处理：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上述生产项（富文本内容）中的英文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包括带富文本样式的英文，如，斜体、加粗...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不需处理：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中文、公式、符号（音标也是符号）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分词匹配逻辑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划分短语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所有英文，先在</w:t>
            </w:r>
            <w:hyperlink r:id="rId15">
              <w:r>
                <w:rPr>
                  <w:rStyle w:val="hyperlink"/>
                </w:rPr>
                <w:t xml:space="preserve">短语库</w:t>
              </w:r>
            </w:hyperlink>
            <w:r>
              <w:t xml:space="preserve">中匹配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任意短语的“原形”或“变形”完全匹配，均视为匹配成功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匹配成功的短语划分为一个短语块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划分单词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排除短语后，剩余英文，每遇到以下非英文字符，就分隔开并划分为一个单词块</w:t>
            </w:r>
          </w:p>
          <w:p>
            <w:pPr>
              <w:numPr>
                <w:ilvl w:val="3"/>
                <w:numId w:val="3"/>
              </w:numPr>
            </w:pPr>
            <w:r>
              <w:rPr/>
              <w:t xml:space="preserve">会分隔单词的：空格、中文、公式、除了-</w:t>
            </w:r>
            <w:r>
              <w:rPr>
                <w:shd w:val="clear" w:color="auto" w:fill="FFF8B9"/>
              </w:rPr>
              <w:t xml:space="preserve">和'</w:t>
            </w:r>
            <w:r>
              <w:rPr/>
              <w:t xml:space="preserve">以外的符号</w:t>
            </w:r>
          </w:p>
          <w:p>
            <w:pPr>
              <w:numPr>
                <w:ilvl w:val="3"/>
                <w:numId w:val="3"/>
              </w:numPr>
            </w:pPr>
            <w:r>
              <w:rPr>
                <w:shd w:val="clear" w:color="auto" w:fill="FFF8B9"/>
              </w:rPr>
              <w:t xml:space="preserve">-和'不分词</w:t>
            </w:r>
            <w:r>
              <w:rPr/>
              <w:t xml:space="preserve">，如</w:t>
            </w:r>
            <w:r>
              <w:rPr>
                <w:sz w:val="24"/>
                <w:color w:val="000000"/>
                <w:u w:val="single"/>
              </w:rPr>
              <w:t xml:space="preserve">low-temperature</w:t>
            </w:r>
            <w:r>
              <w:rPr>
                <w:sz w:val="24"/>
                <w:color w:val="000000"/>
                <w:shd w:val="clear" w:color="auto" w:fill="FFF8B9"/>
              </w:rPr>
              <w:t xml:space="preserve">、</w:t>
            </w:r>
            <w:r>
              <w:rPr>
                <w:sz w:val="24"/>
                <w:color w:val="000000"/>
                <w:shd w:val="clear" w:color="auto" w:fill="FFF8B9"/>
                <w:u w:val="single"/>
              </w:rPr>
              <w:t xml:space="preserve">it's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逐个单词，在</w:t>
            </w:r>
            <w:hyperlink r:id="rId16">
              <w:r>
                <w:rPr>
                  <w:rStyle w:val="hyperlink"/>
                </w:rPr>
                <w:t xml:space="preserve">单词库</w:t>
              </w:r>
            </w:hyperlink>
            <w:r>
              <w:t xml:space="preserve">中匹配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匹配成功则跳过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匹配失败，则调百度api、内部tts，将新单词落库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落库逻辑与</w:t>
            </w:r>
            <w:hyperlink r:id="rId17">
              <w:r>
                <w:rPr>
                  <w:rStyle w:val="hyperlink"/>
                </w:rPr>
                <w:t xml:space="preserve">单词库的灌库步骤</w:t>
              </w:r>
            </w:hyperlink>
            <w:r>
              <w:t xml:space="preserve">一样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若新词中有必填项未返回成功，也正常落库，并立即发布一次</w:t>
            </w:r>
          </w:p>
          <w:p>
            <w:pPr>
              <w:numPr>
                <w:ilvl w:val="5"/>
                <w:numId w:val="3"/>
              </w:numPr>
            </w:pPr>
            <w:r>
              <w:rPr/>
              <w:t xml:space="preserve">即，完整性=有缺失。包括什么都没调到，只有一个原始文本的情况，也落库一个新词，只有“单词”一个字段有值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后端收到消息后告知产品，产品联系业务方去手动完善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数据同步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Labs同步题内容时，将上述分词数据同步到课程平台JY环境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课程平台发布题内容时，将上述分词数据同时发到正式环境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下游对接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随题将分词数据提供给下游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用户点击分好的单词块或短语块后，下游会来查单词库、短语库，正常返回其匹配到的单词、短语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异常场景</w:t>
            </w:r>
            <w:r>
              <w:rPr>
                <w:color w:val="9B9A97"/>
                <w:b w:val="1"/>
                <w:strike w:val="1"/>
                <w:shd w:val="clear" w:color="auto" w:fill="FFFAE5"/>
              </w:rPr>
              <w:t xml:space="preserve">（待议）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若新增、删除、变更（编辑保存）了短语，触发所有题目全量重新分词</w:t>
            </w:r>
          </w:p>
          <w:p>
            <w:pPr>
              <w:numPr>
                <w:ilvl w:val="1"/>
                <w:numId w:val="3"/>
              </w:numPr>
            </w:pPr>
            <w:r>
              <w:rPr>
                <w:shd w:val="clear" w:color="auto" w:fill="FFFAE5"/>
              </w:rPr>
              <w:t xml:space="preserve">异步任务，不对用户侧做消息提示。若分词失败，后端收到消息后再单独处理，比如手动重试</w:t>
            </w:r>
          </w:p>
        </w:tc>
      </w:tr>
    </w:tbl>
    <w:p>
      <w:pPr/>
      <w:r/>
    </w:p>
    <w:p>
      <w:bookmarkStart w:id="mji9kypz28td7x01uoj" w:name="mji9kypz28td7x01uoj"/>
      <w:pPr>
        <w:pStyle w:val="dingding-heading1"/>
        <w:numPr>
          <w:ilvl w:val="0"/>
          <w:numId w:val="1"/>
        </w:numPr>
        <w:spacing w:line="223.99999999999997"/>
      </w:pPr>
      <w:r>
        <w:rPr>
          <w:sz w:val="42"/>
          <w:b w:val="1"/>
        </w:rPr>
        <w:t xml:space="preserve">权限</w:t>
      </w:r>
      <w:r>
        <w:rPr>
          <w:sz w:val="42"/>
          <w:b w:val="1"/>
        </w:rPr>
        <w:t xml:space="preserve"> </w:t>
      </w:r>
      <w:bookmarkEnd w:id="mji9kypz28td7x01uoj"/>
    </w:p>
    <w:p>
      <w:pPr>
        <w:ind/>
      </w:pPr>
      <w:r>
        <w:rPr>
          <w:sz w:val="22"/>
        </w:rPr>
        <w:t xml:space="preserve">无。</w:t>
      </w:r>
    </w:p>
    <w:p>
      <w:bookmarkStart w:id="mji9kyq063cyy8fxfqb" w:name="mji9kyq063cyy8fxfqb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历史数据影响及处理</w:t>
      </w:r>
      <w:bookmarkEnd w:id="mji9kyq063cyy8fxfqb"/>
    </w:p>
    <w:p>
      <w:pPr>
        <w:ind/>
      </w:pPr>
      <w:r>
        <w:t xml:space="preserve">无。</w:t>
      </w:r>
    </w:p>
    <w:sectPr>
      <w:pgSz w:w="16905" w:h="23820"/>
      <w:pgMar w:top="720" w:right="1080" w:bottom="720" w:left="1080" w:header="850.95" w:footer="991.95" w:gutter="0"/>
      <w:type w:val="nextPage"/>
    </w:sectPr>
  </w:body>
</w:document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lvl w:ilvl="0">
      <w:start w:val="1"/>
      <w:numFmt w:val="decimal"/>
      <w:lvlText w:val="%1"/>
      <w:lvlJc w:val="left"/>
      <w:pPr>
        <w:ind w:left="420" w:hanging="420"/>
      </w:pPr>
      <w:rPr/>
    </w:lvl>
    <w:lvl w:ilvl="1">
      <w:start w:val="1"/>
      <w:numFmt w:val="decimal"/>
      <w:lvlText w:val="%1.%2"/>
      <w:lvlJc w:val="left"/>
      <w:pPr>
        <w:ind w:left="420" w:hanging="420"/>
      </w:pPr>
      <w:rPr/>
    </w:lvl>
  </w:abstractNum>
  <w:abstractNum w:abstractNumId="1" w15:restartNumberingAfterBreak="0">
    <w:lvl w:ilvl="0">
      <w:start w:val="1"/>
      <w:numFmt w:val="bullet"/>
      <w:lvlText w:val="●"/>
      <w:lvlJc w:val="left"/>
      <w:pPr>
        <w:ind w:left="420" w:hanging="420"/>
      </w:pPr>
      <w:rPr/>
    </w:lvl>
  </w:abstractNum>
  <w:abstractNum w:abstractNumId="2" w15:restartNumberingAfterBreak="0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lowerLetter"/>
      <w:lvlText w:val="%2."/>
      <w:lvlJc w:val="left"/>
      <w:pPr>
        <w:ind w:left="840" w:hanging="420"/>
      </w:pPr>
      <w:rPr/>
    </w:lvl>
    <w:lvl w:ilvl="2">
      <w:start w:val="1"/>
      <w:numFmt w:val="lowerRoman"/>
      <w:lvlText w:val="%3."/>
      <w:lvlJc w:val="lef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."/>
      <w:lvlJc w:val="left"/>
      <w:pPr>
        <w:ind w:left="2100" w:hanging="420"/>
      </w:pPr>
      <w:rPr/>
    </w:lvl>
    <w:lvl w:ilvl="5">
      <w:start w:val="1"/>
      <w:numFmt w:val="lowerRoman"/>
      <w:lvlText w:val="%6."/>
      <w:lvlJc w:val="left"/>
      <w:pPr>
        <w:ind w:left="2520" w:hanging="420"/>
      </w:pPr>
      <w:rPr/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bordersDoNotSurroundFooter/>
  <w:bordersDoNotSurroundHead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rFonts w:asciiTheme="minorHAnsi" w:hAnsiTheme="minorHAnsi" w:cstheme="minorBidi" w:eastAsiaTheme="minorEastAsia"/>
        <w:kern w:val="2"/>
      </w:rPr>
    </w:rPrDefault>
    <w:pPrDefault/>
  </w:docDefaults>
  <w:style w:type="table" w:default="0" w:styleId="TableGrid">
    <w:name w:val="Table Grid"/>
    <w:basedOn w:val="Normal Table"/>
    <w:tblPr>
      <w:tblBorders>
        <w:left w:val="single" w:sz="6" w:space="0" w:color="000000"/>
        <w:right w:val="single" w:sz="6" w:space="0" w:color="000000"/>
        <w:top w:val="single" w:sz="6" w:space="0" w:color="000000"/>
        <w:bottom w:val="single" w:sz="6" w:space="0" w:color="000000"/>
        <w:insideH w:val="single" w:sz="6" w:space="0" w:color="000000"/>
        <w:insideV w:val="single" w:sz="6" w:space="0" w:color="000000"/>
      </w:tblBorders>
      <w:tblW w:w="0" w:type="auto"/>
    </w:tblPr>
    <w:tcPr/>
  </w:style>
  <w:style w:type="paragraph" w:default="0" w:styleId="dingding-heading1">
    <w:name w:val="heading 1"/>
    <w:basedOn w:val="NormalParagraph"/>
    <w:tcPr/>
    <w:pPr>
      <w:keepLines w:val="1"/>
      <w:keepNext w:val="1"/>
      <w:spacing w:before="348" w:after="210" w:lineRule="auto"/>
    </w:pPr>
    <w:rPr>
      <w:sz w:val="34"/>
      <w:b w:val="1"/>
    </w:rPr>
  </w:style>
  <w:style w:type="paragraph" w:default="0" w:styleId="dingding-heading2">
    <w:name w:val="heading 2"/>
    <w:basedOn w:val="NormalParagraph"/>
    <w:tcPr/>
    <w:pPr>
      <w:keepLines w:val="1"/>
      <w:keepNext w:val="1"/>
      <w:spacing w:before="348" w:after="190" w:lineRule="auto"/>
    </w:pPr>
    <w:rPr>
      <w:sz w:val="28"/>
      <w:b w:val="1"/>
    </w:rPr>
  </w:style>
  <w:style w:type="paragraph" w:default="1" w:styleId="docDefaults">
    <w:name w:val="dingdocnormal"/>
    <w:tcPr/>
    <w:pPr>
      <w:spacing/>
    </w:pPr>
    <w:rPr>
      <w:sz w:val="24"/>
    </w:rPr>
  </w:style>
  <w:style w:type="character" w:default="0" w:styleId="hyperlink">
    <w:name w:val="Hyperlink"/>
    <w:basedOn w:val="NormalCharacter"/>
    <w:tcPr/>
    <w:rPr>
      <w:color w:val="0563C1"/>
      <w:u w:val="single"/>
    </w:rPr>
  </w:style>
  <w:style w:type="table" w:default="0" w:styleId="tableDefault">
    <w:name w:val=""/>
    <w:tblPr>
      <w:tblStyle w:val="TableGrid"/>
      <w:tblBorders>
        <w:left w:val="single" w:sz="6" w:space="0" w:color="D6D6D6"/>
        <w:right w:val="single" w:sz="6" w:space="0" w:color="D6D6D6"/>
        <w:top w:val="single" w:sz="6" w:space="0" w:color="D6D6D6"/>
        <w:bottom w:val="single" w:sz="6" w:space="0" w:color="D6D6D6"/>
        <w:insideH w:val="single" w:sz="6" w:space="0" w:color="D6D6D6"/>
        <w:insideV w:val="single" w:sz="6" w:space="0" w:color="D6D6D6"/>
      </w:tblBorders>
      <w:tblW w:w="0" w:type="auto"/>
    </w:tblPr>
    <w:tcPr/>
  </w:style>
  <w:style w:type="table" w:default="0" w:styleId="tableHeader">
    <w:name w:val=""/>
    <w:basedOn w:val="tableDefault"/>
    <w:tcPr/>
    <w:tblStylePr w:type="firstRow">
      <w:tcPr>
        <w:shd w:val="clear" w:color="" w:fill="F5F6F7"/>
      </w:tcPr>
    </w:tblStylePr>
    <w:tblStylePr w:type="firstCol">
      <w:tcPr>
        <w:shd w:val="clear" w:color="" w:fill="F5F6F7"/>
      </w:tcPr>
    </w:tblStylePr>
  </w:style>
</w:styles>
</file>

<file path=word/_rels/document.xml.rels><?xml version="1.0" encoding="UTF-8"?>
<Relationships xmlns="http://schemas.openxmlformats.org/package/2006/relationships">
  <Relationship Id="rId4" Type="http://schemas.openxmlformats.org/officeDocument/2006/relationships/image" Target="media/image1.png" />
  <Relationship Id="rId5" Type="http://schemas.openxmlformats.org/officeDocument/2006/relationships/image" Target="media/image2.png" />
  <Relationship Id="rId6" Type="http://schemas.openxmlformats.org/officeDocument/2006/relationships/image" Target="media/image3.png" />
  <Relationship Id="rId7" Type="http://schemas.openxmlformats.org/officeDocument/2006/relationships/image" Target="media/image4.png" />
  <Relationship Id="rId8" Type="http://schemas.openxmlformats.org/officeDocument/2006/relationships/image" Target="media/image5.png" />
  <Relationship Id="rId9" Type="http://schemas.openxmlformats.org/officeDocument/2006/relationships/image" Target="media/image6.png" />
  <Relationship Id="rId10" Type="http://schemas.openxmlformats.org/officeDocument/2006/relationships/image" Target="media/image7.png" />
  <Relationship Id="rId11" Type="http://schemas.openxmlformats.org/officeDocument/2006/relationships/image" Target="media/image8.png" />
  <Relationship Id="rId12" Type="http://schemas.openxmlformats.org/officeDocument/2006/relationships/image" Target="media/image9.png" />
  <Relationship Id="rId13" Type="http://schemas.openxmlformats.org/officeDocument/2006/relationships/image" Target="media/image10.png" />
  <Relationship Id="rId14" Type="http://schemas.openxmlformats.org/officeDocument/2006/relationships/image" Target="media/image11.png" />
  <Relationship Id="rId15" Type="http://schemas.openxmlformats.org/officeDocument/2006/relationships/hyperlink" Target="https://alidocs.dingtalk.com/i/nodes/Obva6QBXJw9K3Qz7tLAZNPo6Wn4qY5Pr?utm_scene=team_space" TargetMode="External" />
  <Relationship Id="rId16" Type="http://schemas.openxmlformats.org/officeDocument/2006/relationships/hyperlink" Target="https://alidocs.dingtalk.com/i/nodes/amweZ92PV6v4Yj7LIqxvzeYxVxEKBD6p?utm_scene=team_space" TargetMode="External" />
  <Relationship Id="rId17" Type="http://schemas.openxmlformats.org/officeDocument/2006/relationships/hyperlink" Target="https://alidocs.dingtalk.com/i/nodes/amweZ92PV6v4Yj7LIqxvzeYxVxEKBD6p?utm_scene=team_space&amp;iframeQuery=anchorId%3Duu_mv7utmooe0mizsmfraw" TargetMode="External" />
  <Relationship Id="rId1" Type="http://schemas.openxmlformats.org/officeDocument/2006/relationships/styles" Target="styles.xml" />
  <Relationship Id="rId2" Type="http://schemas.openxmlformats.org/officeDocument/2006/relationships/settings" Target="settings.xml" />
  <Relationship Id="rId3" Type="http://schemas.openxmlformats.org/officeDocument/2006/relationships/numbering" Target="numbering.xml" />
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DingTalk</dc:creator>
  <cp:lastModifiedBy>DingTalk</cp:lastModifiedBy>
  <dcterms:modified xsi:type="dcterms:W3CDTF">1970-01-01T00:00:00Z</dcterms:modified>
  <cp:revision>1</cp:revision>
  <dc:description>DingTalk Document</dc:description>
  <dc:language>ZN_CH</dc:language>
</cp:coreProperties>
</file>